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0" w:type="dxa"/>
        <w:tblInd w:w="115" w:type="dxa"/>
        <w:shd w:val="clear" w:color="auto" w:fill="FFFFFF"/>
        <w:tblCellMar>
          <w:top w:w="15" w:type="dxa"/>
          <w:left w:w="15" w:type="dxa"/>
          <w:bottom w:w="15" w:type="dxa"/>
          <w:right w:w="15" w:type="dxa"/>
        </w:tblCellMar>
        <w:tblLook w:val="04A0" w:firstRow="1" w:lastRow="0" w:firstColumn="1" w:lastColumn="0" w:noHBand="0" w:noVBand="1"/>
      </w:tblPr>
      <w:tblGrid>
        <w:gridCol w:w="2667"/>
        <w:gridCol w:w="6573"/>
      </w:tblGrid>
      <w:tr w:rsidR="00504972" w:rsidRPr="00504972" w:rsidTr="00504972">
        <w:trPr>
          <w:trHeight w:val="284"/>
        </w:trPr>
        <w:tc>
          <w:tcPr>
            <w:tcW w:w="0" w:type="auto"/>
            <w:shd w:val="clear" w:color="auto" w:fill="FFFFFF"/>
            <w:hideMark/>
          </w:tcPr>
          <w:p w:rsidR="00504972" w:rsidRPr="00504972" w:rsidRDefault="00504972" w:rsidP="00504972">
            <w:pPr>
              <w:spacing w:after="100" w:afterAutospacing="1" w:line="240" w:lineRule="auto"/>
              <w:jc w:val="center"/>
              <w:rPr>
                <w:rFonts w:ascii="Arial" w:eastAsia="Times New Roman" w:hAnsi="Arial" w:cs="Arial"/>
                <w:color w:val="000000"/>
                <w:sz w:val="18"/>
                <w:szCs w:val="18"/>
              </w:rPr>
            </w:pPr>
            <w:r w:rsidRPr="00504972">
              <w:rPr>
                <w:rFonts w:ascii="Arial" w:eastAsia="Times New Roman" w:hAnsi="Arial" w:cs="Arial"/>
                <w:b/>
                <w:bCs/>
                <w:color w:val="000000"/>
                <w:sz w:val="20"/>
                <w:szCs w:val="20"/>
              </w:rPr>
              <w:t>BỘ TÀI CHÍNH</w:t>
            </w:r>
          </w:p>
          <w:p w:rsidR="00504972" w:rsidRPr="00504972" w:rsidRDefault="00504972" w:rsidP="00504972">
            <w:pPr>
              <w:spacing w:after="100" w:afterAutospacing="1" w:line="240" w:lineRule="auto"/>
              <w:jc w:val="center"/>
              <w:rPr>
                <w:rFonts w:ascii="Arial" w:eastAsia="Times New Roman" w:hAnsi="Arial" w:cs="Arial"/>
                <w:color w:val="000000"/>
                <w:sz w:val="18"/>
                <w:szCs w:val="18"/>
              </w:rPr>
            </w:pPr>
            <w:r w:rsidRPr="00504972">
              <w:rPr>
                <w:rFonts w:ascii="Arial" w:eastAsia="Times New Roman" w:hAnsi="Arial" w:cs="Arial"/>
                <w:color w:val="000000"/>
                <w:sz w:val="18"/>
                <w:szCs w:val="18"/>
              </w:rPr>
              <w:t> </w:t>
            </w:r>
          </w:p>
        </w:tc>
        <w:tc>
          <w:tcPr>
            <w:tcW w:w="0" w:type="auto"/>
            <w:shd w:val="clear" w:color="auto" w:fill="FFFFFF"/>
            <w:hideMark/>
          </w:tcPr>
          <w:p w:rsidR="00504972" w:rsidRPr="00504972" w:rsidRDefault="00504972" w:rsidP="00504972">
            <w:pPr>
              <w:spacing w:after="100" w:afterAutospacing="1" w:line="240" w:lineRule="auto"/>
              <w:jc w:val="center"/>
              <w:rPr>
                <w:rFonts w:ascii="Arial" w:eastAsia="Times New Roman" w:hAnsi="Arial" w:cs="Arial"/>
                <w:color w:val="000000"/>
                <w:sz w:val="18"/>
                <w:szCs w:val="18"/>
              </w:rPr>
            </w:pPr>
            <w:r w:rsidRPr="00504972">
              <w:rPr>
                <w:rFonts w:ascii="Arial" w:eastAsia="Times New Roman" w:hAnsi="Arial" w:cs="Arial"/>
                <w:b/>
                <w:bCs/>
                <w:color w:val="000000"/>
                <w:sz w:val="20"/>
                <w:szCs w:val="20"/>
              </w:rPr>
              <w:t>CỘNG HÒA XÃ HỘI CHỦ NGHĨA VIỆT NAM</w:t>
            </w:r>
          </w:p>
          <w:p w:rsidR="00504972" w:rsidRPr="00504972" w:rsidRDefault="00504972" w:rsidP="00504972">
            <w:pPr>
              <w:spacing w:after="100" w:afterAutospacing="1" w:line="240" w:lineRule="auto"/>
              <w:jc w:val="center"/>
              <w:rPr>
                <w:rFonts w:ascii="Arial" w:eastAsia="Times New Roman" w:hAnsi="Arial" w:cs="Arial"/>
                <w:color w:val="000000"/>
                <w:sz w:val="18"/>
                <w:szCs w:val="18"/>
              </w:rPr>
            </w:pPr>
            <w:r w:rsidRPr="00504972">
              <w:rPr>
                <w:rFonts w:ascii="Arial" w:eastAsia="Times New Roman" w:hAnsi="Arial" w:cs="Arial"/>
                <w:b/>
                <w:bCs/>
                <w:color w:val="000000"/>
                <w:sz w:val="20"/>
                <w:szCs w:val="20"/>
              </w:rPr>
              <w:t>Độc lập - Tự do - Hạnh phúc</w:t>
            </w:r>
          </w:p>
        </w:tc>
      </w:tr>
      <w:tr w:rsidR="00504972" w:rsidRPr="00504972" w:rsidTr="00504972">
        <w:trPr>
          <w:trHeight w:val="284"/>
        </w:trPr>
        <w:tc>
          <w:tcPr>
            <w:tcW w:w="0" w:type="auto"/>
            <w:shd w:val="clear" w:color="auto" w:fill="FFFFFF"/>
            <w:hideMark/>
          </w:tcPr>
          <w:p w:rsidR="00504972" w:rsidRPr="00504972" w:rsidRDefault="00504972" w:rsidP="00504972">
            <w:pPr>
              <w:spacing w:after="100" w:afterAutospacing="1" w:line="240" w:lineRule="auto"/>
              <w:jc w:val="center"/>
              <w:rPr>
                <w:rFonts w:ascii="Arial" w:eastAsia="Times New Roman" w:hAnsi="Arial" w:cs="Arial"/>
                <w:color w:val="000000"/>
                <w:sz w:val="18"/>
                <w:szCs w:val="18"/>
              </w:rPr>
            </w:pPr>
            <w:r w:rsidRPr="00504972">
              <w:rPr>
                <w:rFonts w:ascii="Arial" w:eastAsia="Times New Roman" w:hAnsi="Arial" w:cs="Arial"/>
                <w:color w:val="000000"/>
                <w:sz w:val="20"/>
                <w:szCs w:val="20"/>
              </w:rPr>
              <w:t>Số: /2017/TT-BTC</w:t>
            </w:r>
          </w:p>
        </w:tc>
        <w:tc>
          <w:tcPr>
            <w:tcW w:w="0" w:type="auto"/>
            <w:shd w:val="clear" w:color="auto" w:fill="FFFFFF"/>
            <w:hideMark/>
          </w:tcPr>
          <w:p w:rsidR="00504972" w:rsidRPr="00504972" w:rsidRDefault="00504972" w:rsidP="00504972">
            <w:pPr>
              <w:spacing w:after="100" w:afterAutospacing="1" w:line="240" w:lineRule="auto"/>
              <w:jc w:val="center"/>
              <w:rPr>
                <w:rFonts w:ascii="Arial" w:eastAsia="Times New Roman" w:hAnsi="Arial" w:cs="Arial"/>
                <w:color w:val="000000"/>
                <w:sz w:val="18"/>
                <w:szCs w:val="18"/>
              </w:rPr>
            </w:pPr>
            <w:r w:rsidRPr="00504972">
              <w:rPr>
                <w:rFonts w:ascii="Arial" w:eastAsia="Times New Roman" w:hAnsi="Arial" w:cs="Arial"/>
                <w:i/>
                <w:iCs/>
                <w:color w:val="000000"/>
                <w:sz w:val="20"/>
                <w:szCs w:val="20"/>
              </w:rPr>
              <w:t>Hà Nội, ngày tháng năm</w:t>
            </w:r>
          </w:p>
        </w:tc>
      </w:tr>
    </w:tbl>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bookmarkStart w:id="0" w:name="loai_1"/>
      <w:bookmarkEnd w:id="0"/>
      <w:r w:rsidRPr="00504972">
        <w:rPr>
          <w:rFonts w:eastAsia="Times New Roman" w:cs="Times New Roman"/>
          <w:b/>
          <w:bCs/>
          <w:color w:val="000000"/>
          <w:sz w:val="20"/>
          <w:szCs w:val="20"/>
        </w:rPr>
        <w:t>THÔNG TƯ</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bookmarkStart w:id="1" w:name="loai_1_name"/>
      <w:bookmarkEnd w:id="1"/>
      <w:r w:rsidRPr="00504972">
        <w:rPr>
          <w:rFonts w:eastAsia="Times New Roman" w:cs="Times New Roman"/>
          <w:b/>
          <w:bCs/>
          <w:color w:val="000000"/>
          <w:sz w:val="20"/>
          <w:szCs w:val="20"/>
        </w:rPr>
        <w:t>Hướng dẫn một số nội dung về xử lý tài chính và xác định giá trị doanh nghiệp khi thực hiện chuyển doanh nghiệp nhà nước và công ty trách nhiệm hữu hạn một thành viên do doanh nghiệp nhà nước đầu tư 100% vốn điều lệ</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r w:rsidRPr="00504972">
        <w:rPr>
          <w:rFonts w:eastAsia="Times New Roman" w:cs="Times New Roman"/>
          <w:b/>
          <w:bCs/>
          <w:color w:val="000000"/>
          <w:sz w:val="20"/>
          <w:szCs w:val="20"/>
        </w:rPr>
        <w:t>thành công ty cổ phần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i/>
          <w:iCs/>
          <w:color w:val="000000"/>
          <w:sz w:val="20"/>
          <w:szCs w:val="20"/>
        </w:rPr>
        <w:t>Căn cứ Luật Doanh nghiệp số 68/2014/QH13 ngày 26/11/2014;</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i/>
          <w:iCs/>
          <w:color w:val="000000"/>
          <w:sz w:val="20"/>
          <w:szCs w:val="20"/>
        </w:rPr>
        <w:t>Căn cứ Nghị định số 87/2017/NĐ-CP ngày 26/7/2017 của Chính phủ quy định chức năng, nhiệm vụ, quyền hạn và cơ cấu tổ chức của Bộ Tài chính;</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i/>
          <w:iCs/>
          <w:color w:val="000000"/>
          <w:sz w:val="20"/>
          <w:szCs w:val="20"/>
        </w:rPr>
        <w:t>Căn cứ Nghị định số 126/2017/NĐ-CP ngày 16/11/2017 của Chính phủ về chuyển doanh nghiệp nhà nước và công ty trách nhiệm hữu hạn một thành viên do doanh nghiệp nhà nước đầu tư 100% vốn điều lệ thành công ty cổ phần;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i/>
          <w:iCs/>
          <w:color w:val="000000"/>
          <w:sz w:val="20"/>
          <w:szCs w:val="20"/>
        </w:rPr>
        <w:t>Theo đề nghị của Cục trưởng Cục Tài chính doanh nghiệp;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i/>
          <w:iCs/>
          <w:color w:val="000000"/>
          <w:sz w:val="20"/>
          <w:szCs w:val="20"/>
        </w:rPr>
        <w:t>Bộ trưởng Bộ Tài chính ban hành Thông tư hướng dẫn một số nội dung về xử lý tài chính và xác định giá trị doanh nghiệp khi thực hiện chuyển doanh nghiệp nhà nước và công ty trách nhiệm hữu hạn một thành viên do doanh nghiệp nhà nước đầu tư 100% vốn điều lệ thành công ty cổ phần,</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bookmarkStart w:id="2" w:name="chuong_1"/>
      <w:bookmarkEnd w:id="2"/>
      <w:r w:rsidRPr="00504972">
        <w:rPr>
          <w:rFonts w:eastAsia="Times New Roman" w:cs="Times New Roman"/>
          <w:b/>
          <w:bCs/>
          <w:color w:val="000000"/>
          <w:sz w:val="20"/>
          <w:szCs w:val="20"/>
        </w:rPr>
        <w:t>Chương I</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bookmarkStart w:id="3" w:name="chuong_1_name"/>
      <w:bookmarkEnd w:id="3"/>
      <w:r w:rsidRPr="00504972">
        <w:rPr>
          <w:rFonts w:eastAsia="Times New Roman" w:cs="Times New Roman"/>
          <w:b/>
          <w:bCs/>
          <w:color w:val="000000"/>
          <w:sz w:val="20"/>
          <w:szCs w:val="20"/>
        </w:rPr>
        <w:t>QUY ĐỊNH CHUNG</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bookmarkStart w:id="4" w:name="dieu_1"/>
      <w:bookmarkEnd w:id="4"/>
      <w:r w:rsidRPr="00504972">
        <w:rPr>
          <w:rFonts w:eastAsia="Times New Roman" w:cs="Times New Roman"/>
          <w:b/>
          <w:bCs/>
          <w:color w:val="000000"/>
          <w:sz w:val="20"/>
          <w:szCs w:val="20"/>
        </w:rPr>
        <w:t>Điều 1. Phạm vi điều chỉnh và đối tượng áp dụng</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1. Phạm vi điều chỉnh: Thông tư này hướng dẫn một số nội dung về xử lý tài chính và xác định giá trị doanh nghiệp khi thực hiện chuyển doanh nghiệp nhà nước và công ty trách nhiệm hữu hạn một thành viên do doanh nghiệp nhà nước đầu tư 100% vốn điều lệ thành công ty cổ phần theo quy định tại Nghị định số 126/2017/NĐ-CP ngày 16/11/2017 của Chính phủ về chuyển doanh nghiệp nhà nước và công ty trách nhiệm hữu hạn một thành viên do doanh nghiệp nhà nước đầu tư 100% vốn điều lệ thành công ty cổ phần (sau đây gọi tắt là Nghị định số 126/2017/NĐ-CP).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2. Đối tượng áp dụng:</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Các doanh nghiệp quy định tại khoản 2 và khoản 3 Điều 2 Nghị định số 126/2017/NĐ-CP (sau đây gọi là doanh nghiệp cổ phần hóa).</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Cơ quan đại diện chủ sở hữu và các cơ quan, tổ chức, cá nhân có liên quan quy định tại khoản 1 và khoản 4 Điều 2 Nghị định số 126/2017/NĐ-CP.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bookmarkStart w:id="5" w:name="dieu_2"/>
      <w:bookmarkEnd w:id="5"/>
      <w:r w:rsidRPr="00504972">
        <w:rPr>
          <w:rFonts w:eastAsia="Times New Roman" w:cs="Times New Roman"/>
          <w:b/>
          <w:bCs/>
          <w:color w:val="000000"/>
          <w:sz w:val="20"/>
          <w:szCs w:val="20"/>
        </w:rPr>
        <w:t>Điều 2. </w:t>
      </w:r>
      <w:bookmarkStart w:id="6" w:name="dieu_3"/>
      <w:bookmarkEnd w:id="6"/>
      <w:r w:rsidRPr="00504972">
        <w:rPr>
          <w:rFonts w:eastAsia="Times New Roman" w:cs="Times New Roman"/>
          <w:b/>
          <w:bCs/>
          <w:color w:val="000000"/>
          <w:sz w:val="20"/>
          <w:szCs w:val="20"/>
        </w:rPr>
        <w:t>Một số nguyên tắc khi thực hiện cổ phần hóa doanh nghiệp: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1. Căn cứ kế hoạch cổ phần hóa đã được cấp có thẩm quyền phê duyệt, doanh nghiệp phải thực hiện xử lý các vấn đề về tài chính và trình cấp có thẩm quyền phê duyệt phương án sử dụng đất theo quy định trước thời điểm xác định giá trị doanh nghiệp.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lastRenderedPageBreak/>
        <w:t>2. Khi nhận được Quyết định thực hiện cổ phần hóa của cơ quan có thẩm quyền, doanh nghiệp phải thực hiện tổ chức kiểm kê, phân loại tài sản, nguồn vốn và xử lý các vấn đề về tài chính tại thời điểm xác định giá trị doanh nghiệp theo quy định tại Điều 13 Nghị định số 126/2017/NĐ-CP và các nội dung hướng dẫn tại Chương 2 Thông tư này.</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3. Trường hợp sau khi đã được xử lý tài chính và xác định lại giá trị doanh nghiệp theo quy định mà không còn vốn nhà nước tại doanh nghiệp hoặc giá trị thực tế doanh nghiệp thấp hơn các khoản phải trả thì xử lý theo quy định tại khoản 2 Điều 4 Nghị định số 126/2017/NĐ-CP.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4. Quá trình xử lý tài chính và xác định giá trị doanh nghiệp cổ phần hóa phải đảm bảo chặt chẽ, công khai, minh bạch, không làm thất thoát vốn, tài sản của Nhà nước. Các tổ chức, cá nhân có liên quan khi thực hiện xử lý tài chính và xác định giá trị doanh nghiệp không chấp hành đúng chế độ quy định, gây ra tổn thất hoặc thất thoát tài sản nhà nước thì tổ chức, cá nhân đó chịu trách nhiệm hành chính, bồi thường vật chất hoặc truy cứu trách nhiệm hình sự theo quy định của pháp luật.</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5. Trong quá trình kiểm kê tài sản, đối chiếu xác nhận công nợ, tiền vốn các loại nếu phát hiện có sự kê khai thiếu hoặc bỏ sót các tài sản, công nợ, tiền vốn dẫn đến giảm giá trị doanh nghiệp và vốn nhà nước tại doanh nghiệp cổ phần hóa thì Giám đốc, Kế toán trưởng và các tổ chức, cá nhân liên quan phải chịu trách nhiệm bồi hoàn nộp vào Quỹ hỗ trợ sắp xếp và phát triển doanh nghiệp toàn bộ giá trị tài sản, công nợ, tiền vốn các loại bị kê thiếu hoặc bỏ sót; trường hợp cố tình kê khai thiếu hoặc cố tình bỏ sót thì sẽ phải chịu trách nhiệm hình sự theo quy định của pháp luật.</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6. Cơ quan đại diện chủ sở hữu chịu trách nhiệm giải quyết các vấn đề về tài chính trong quá trình cổ phần hóa theo quy định tại Nghị định số 126/2017/NĐ-CP và những vấn đề về tài chính phát sinh (nếu có) có liên quan đến quá trình cổ phần hóa doanh nghiệp sau khi doanh nghiệp cổ phần hóa chính thức chuyển thành công ty cổ phần.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7. Các khoản mục tiền tệ có gốc ngoại tệ tại thời điểm xác định giá trị doanh nghiệp và thời điểm doanh nghiệp cổ phần hóa chính thức chuyển thành công ty cổ phần (bao gồm: khoản mục tiền và tương đương tiền, nợ phải thu, nợ phải trả) được xác định lại theo tỷ giá quy định tại chế độ kế toán doanh nghiệp hiện hành.</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8. Tại thời điểm doanh nghiệp cổ phần hóa được cấp Giấy chứng nhận đăng ký doanh nghiệp cổ phần lần đầu, doanh nghiệp lập báo cáo tài chính và xử lý các vấn đề về tài chính theo quy định tại Điều 21 Nghị định số 126/2017/NĐ-CP, trong đó: Trường hợp doanh nghiệp đã được cơ quan có thẩm quyền quyết định điều chỉnh giảm vốn nhà nước tại thời điểm doanh nghiệp cổ phần hóa được cấp Giấy chứng nhận đăng ký kinh doanh tương ứng với số lỗ phát sinh theo quy định tại khoản 7 Điều 21 Nghị định số 126/2017/NĐ-CP thì công ty cổ phần không được chuyển số lỗ này khi xác định thu nhập chịu thuế của các năm tiếp theo theo quy định của pháp luật về thuế thu nhập doanh nghiệp và các văn bản hướng dẫn có liên quan; trường hợp số vốn nhà nước không đủ bù đắp khoản lỗ phát sinh thì công ty cổ phần được chuyển số lỗ còn lại (sau khi đã được bù đắp bằng vốn nhà nước) vào các năm tiếp theo khi xác định thu nhập chịu thuế theo quy định của pháp luật về thuế thu nhập doanh nghiệp và các văn bản hướng dẫn có liên quan.</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bookmarkStart w:id="7" w:name="chuong_2"/>
      <w:bookmarkEnd w:id="7"/>
      <w:r w:rsidRPr="00504972">
        <w:rPr>
          <w:rFonts w:eastAsia="Times New Roman" w:cs="Times New Roman"/>
          <w:b/>
          <w:bCs/>
          <w:color w:val="000000"/>
          <w:sz w:val="20"/>
          <w:szCs w:val="20"/>
        </w:rPr>
        <w:t>Chương II</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bookmarkStart w:id="8" w:name="chuong_2_name"/>
      <w:bookmarkEnd w:id="8"/>
      <w:r w:rsidRPr="00504972">
        <w:rPr>
          <w:rFonts w:eastAsia="Times New Roman" w:cs="Times New Roman"/>
          <w:b/>
          <w:bCs/>
          <w:color w:val="000000"/>
          <w:sz w:val="20"/>
          <w:szCs w:val="20"/>
        </w:rPr>
        <w:t>XỬ LÝ TÀI CHÍNH KHI CỔ PHẦN HÓA</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r w:rsidRPr="00504972">
        <w:rPr>
          <w:rFonts w:eastAsia="Times New Roman" w:cs="Times New Roman"/>
          <w:b/>
          <w:bCs/>
          <w:color w:val="000000"/>
          <w:sz w:val="20"/>
          <w:szCs w:val="20"/>
        </w:rPr>
        <w:t>VÀ XÁC ĐỊNH GIÁ TRỊ DOANH NGHIỆP</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r w:rsidRPr="00504972">
        <w:rPr>
          <w:rFonts w:eastAsia="Times New Roman" w:cs="Times New Roman"/>
          <w:b/>
          <w:bCs/>
          <w:color w:val="000000"/>
          <w:sz w:val="20"/>
          <w:szCs w:val="20"/>
        </w:rPr>
        <w:t>THEO PHƯƠNG PHÁP TÀI SẢN</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r w:rsidRPr="00504972">
        <w:rPr>
          <w:rFonts w:eastAsia="Times New Roman" w:cs="Times New Roman"/>
          <w:b/>
          <w:bCs/>
          <w:color w:val="000000"/>
          <w:sz w:val="20"/>
          <w:szCs w:val="20"/>
        </w:rPr>
        <w:t>MỤC I</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r w:rsidRPr="00504972">
        <w:rPr>
          <w:rFonts w:eastAsia="Times New Roman" w:cs="Times New Roman"/>
          <w:b/>
          <w:bCs/>
          <w:color w:val="000000"/>
          <w:sz w:val="20"/>
          <w:szCs w:val="20"/>
        </w:rPr>
        <w:t>KIỂM KÊ TÀI SẢN, ĐỐI CHIẾU CÔNG NỢ</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rPr>
          <w:rFonts w:ascii="Arial" w:eastAsia="Times New Roman" w:hAnsi="Arial" w:cs="Arial"/>
          <w:color w:val="000000"/>
          <w:sz w:val="18"/>
          <w:szCs w:val="18"/>
        </w:rPr>
      </w:pPr>
      <w:bookmarkStart w:id="9" w:name="dieu_4"/>
      <w:bookmarkEnd w:id="9"/>
      <w:r w:rsidRPr="00504972">
        <w:rPr>
          <w:rFonts w:ascii="Arial" w:eastAsia="Times New Roman" w:hAnsi="Arial" w:cs="Arial"/>
          <w:b/>
          <w:bCs/>
          <w:color w:val="000000"/>
          <w:sz w:val="20"/>
          <w:szCs w:val="20"/>
        </w:rPr>
        <w:lastRenderedPageBreak/>
        <w:t>Điều 3. Kiểm kê, phân loại tài sản</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1. Doanh nghiệp cổ phần hóa có trách nhiệm kiểm kê, phân loại tài sản, các nguồn vốn và quỹ doanh nghiệp đang quản lý, sử dụng tại thời điểm xác định giá trị doanh nghiệp; phối hợp với Tổ chức tư vấn (nếu có) thực hiện kiểm kê, phân loại tài sản.</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2. Lập bảng kê xác định đúng số lượng, hiện trạng thực tế, chất lượng và giá trị của tài sản hiện có do doanh nghiệp đang quản lý và sử dụng; kiểm quỹ tiền mặt, đối chiếu số dư tiền gửi ngân hàng; xác định tài sản, tiền mặt thừa, thiếu so với sổ kế toán, phân tích rõ nguyên nhân thừa, thiếu và trách nhiệm của những người có liên quan, xác định mức bồi thường theo quy định của pháp luật tại thời điểm xác định giá trị doanh nghiệp.</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3. Tài sản đã kiểm kê được phân loại theo các nhóm sau:</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a) Tài sản doanh nghiệp có nhu cầu sử dụng.</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b) Tài sản không cần dùng, tài sản ứ đọng, tài sản chờ thanh lý.</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c) Tài sản hình thành từ nguồn quỹ khen thưởng, quỹ phúc lợi (nếu có).</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d) Tài sản thuê, mượn, vật tư hàng hóa nhận giữ hộ, nhận gia công, nhận đại lý, nhận ký gửi, tài sản nhận góp vốn liên doanh, liên kết và các tài sản khác không phải của doanh nghiệp.</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đ) Tài sản gắn liền với đất thuộc diện phải xử lý theo phương án sắp xếp lại, xử lý đối với các cơ sở nhà, đất theo quyết định của cơ quan có thẩm quyền phù hợp với pháp luật về sắp xếp lại, xử lý nhà đất thuộc sở hữu nhà nước.</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e) Tài sản của các đơn vị sự nghiệp có thu (bệnh viện, trường học, viện nghiên cứu), tài sản hoạt động sự nghiệp.</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g) Tài sản chờ quyết định xử lý của các cơ quan có thẩm quyền.</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h) Các khoản đầu tư tài chính (góp vốn liên doanh, góp vốn thành lập công ty trách nhiệm hữu hạn, các hoạt động góp vốn khác) bằng giá trị quyền sử dụng đất.</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i) Tài sản khác (nếu có).</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b/>
          <w:bCs/>
          <w:color w:val="000000"/>
          <w:sz w:val="20"/>
          <w:szCs w:val="20"/>
        </w:rPr>
        <w:t>Điều 4. </w:t>
      </w:r>
      <w:bookmarkStart w:id="10" w:name="dieu_5"/>
      <w:bookmarkEnd w:id="10"/>
      <w:r w:rsidRPr="00504972">
        <w:rPr>
          <w:rFonts w:ascii="Arial" w:eastAsia="Times New Roman" w:hAnsi="Arial" w:cs="Arial"/>
          <w:b/>
          <w:bCs/>
          <w:color w:val="000000"/>
          <w:sz w:val="20"/>
          <w:szCs w:val="20"/>
        </w:rPr>
        <w:t>Đối chiếu, xác nhận và phân loại các khoản công nợ</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Doanh nghiệp cổ phần hóa đối chiếu, xác nhận và phân loại các khoản công nợ; lập bảng kê chi tiết đối với từng khách nợ, chủ nợ theo quy định sau:</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1. Nợ phải thu:</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a) Đối chiếu, xác nhận toàn bộ các khoản nợ phải thu theo từng khách nợ, bao gồm:</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 Các khoản nợ phải thu chưa đến hạn và nợ phải thu đã quá hạn thanh toán.</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 Phân tích rõ các khoản nợ phải thu khó đòi là nợ phải thu đã quá hạn thanh toán ghi trên hợp đồng kinh tế. Nợ phải thu chưa đến thời hạn thanh toán nhưng tổ chức kinh tế (các công ty, doanh nghiệp tư nhân, hợp tác xã, tổ chức tín dụng) đã lâm vào tình trạng phá sản hoặc đang làm thủ tục giải thể; người nợ mất tích, bỏ trốn, đang bị các cơ quan pháp luật truy tố, giam giữ, xét xử, đang thi hành án hoặc đã chết. Xác định rõ trách nhiệm về các khoản nợ phải thu không có khách nợ xác nhận.</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Các khoản nợ phải thu không có khả năng thu hồi phải có đủ tài liệu chứng minh là không thu hồi được.</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b) Rà soát các hợp đồng kinh tế để xác định các khoản đã trả trước cho người cung cấp hàng hóa dịch vụ nhưng đã hạch toán toàn bộ giá trị trả trước vào chi phí kinh doanh như: tiền thuê nhà, tiền thuê đất, tiền mua hàng, tiền mua bảo hiểm dài hạn, tiền lương, tiền công....</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2. Nợ phải trả bao gồm các khoản nợ vay, nợ thuế và các khoản phải nộp ngân sách nhà nước:</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a) Căn cứ hợp đồng, giấy báo nợ đối chiếu lập bảng kê các khoản nợ vay theo từng chủ nợ; xác định các khoản nợ thuế và khoản phải nộp ngân sách nhà nước khác; phân tích cụ thể các khoản nợ vay theo hợp đồng (vay trong nước, vay nước ngoài), vay có bảo lãnh, vay do phát hành trái phiếu; các khoản vay trong hạn, vay chưa đến hạn trả, vay đã quá hạn thanh toán, khoản nợ gốc, nợ lãi chưa trả, khoản nợ phải trả nhưng không phải trả.</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b) Nợ phải trả nhưng không phải trả là khoản nợ mà chủ nợ của doanh nghiệp cổ phần hóa khi thực hiện đối chiếu xác nhận nợ thuộc các trường hợp sau:</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 Nợ của các doanh nghiệp đã giải thể, phá sản nhưng không xác định cơ quan hoặc cá nhân kế thừa theo phương án giải thể, xử lý tài sản phá sản doanh nghiệp của doanh nghiệp giải thể, phá sản được cơ quan có thẩm quyền quyết định phê duyệt.</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lastRenderedPageBreak/>
        <w:t>- Nợ của các cá nhân đã chết nhưng không xác định người kế thừa.</w:t>
      </w:r>
    </w:p>
    <w:p w:rsidR="00504972" w:rsidRPr="00504972" w:rsidRDefault="00504972" w:rsidP="00504972">
      <w:pPr>
        <w:pBdr>
          <w:top w:val="single" w:sz="6" w:space="0" w:color="FFFFFF"/>
          <w:left w:val="single" w:sz="6" w:space="0" w:color="FFFFFF"/>
          <w:bottom w:val="single" w:sz="6" w:space="0" w:color="FFFFFF"/>
          <w:right w:val="single" w:sz="6" w:space="8" w:color="FFFFFF"/>
        </w:pBdr>
        <w:shd w:val="clear" w:color="auto" w:fill="FFFFFF"/>
        <w:spacing w:after="0" w:line="270" w:lineRule="atLeast"/>
        <w:ind w:firstLine="720"/>
        <w:jc w:val="both"/>
        <w:rPr>
          <w:rFonts w:ascii="Arial" w:eastAsia="Times New Roman" w:hAnsi="Arial" w:cs="Arial"/>
          <w:color w:val="000000"/>
          <w:sz w:val="18"/>
          <w:szCs w:val="18"/>
        </w:rPr>
      </w:pPr>
      <w:r w:rsidRPr="00504972">
        <w:rPr>
          <w:rFonts w:ascii="Arial" w:eastAsia="Times New Roman" w:hAnsi="Arial" w:cs="Arial"/>
          <w:color w:val="000000"/>
          <w:sz w:val="20"/>
          <w:szCs w:val="20"/>
        </w:rPr>
        <w:t>- Nợ của các chủ nợ khác đã quá hạn nhiều năm nhưng chủ nợ không đến đối chiếu, xác nhận. Trong trường hợp này doanh nghiệp cổ phần hóa phải có văn bản thông báo gửi trực tiếp đến chủ nợ đồng thời thông báo trên phương tiện thông tin đại chúng trước thời điểm kiểm kê 10 ngày làm việc.</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bookmarkStart w:id="11" w:name="dieu_6"/>
      <w:bookmarkEnd w:id="11"/>
      <w:r w:rsidRPr="00504972">
        <w:rPr>
          <w:rFonts w:eastAsia="Times New Roman" w:cs="Times New Roman"/>
          <w:b/>
          <w:bCs/>
          <w:color w:val="000000"/>
          <w:sz w:val="20"/>
          <w:szCs w:val="20"/>
        </w:rPr>
        <w:t>Điều 5. Đối chiếu, xác nhận các khoản đầu tư tài chính; các khoản được chia; các khoản nhận góp vốn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1. Doanh nghiệp cổ phần hóa đối chiếu, xác nhận lập bảng kê chi tiết đối với các khoản đầu tư tài chính, khoản lợi nhuận được chia của doanh nghiệp bao gồm: các khoản đầu tư góp vốn liên doanh, liên kết với các doanh nghiệp, tổ chức; góp vốn cổ phần, góp vốn thành lập công ty trách nhiệm hữu hạn; vốn đầu tư thành lập công ty trách nhiệm hữu hạn một thành viên do doanh nghiệp cổ phần hóa làm chủ sở hữu; lợi nhuận được chia từ hoạt động đầu tư góp vốn (đã có Nghị quyết của Đại hội cổ đông, Hội đồng thành viên tại tổ chức nhận góp vốn) nhưng thực tế chưa nhận được tiền.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2. Xác định số lượng, giá trị các loại chứng khoán (cổ phiếu, trái phiếu ...) đã mua; số lượng cổ phiếu doanh nghiệp cổ phần hóa được chia.</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3. Đối với các khoản nhận góp vốn liên doanh, liên kết doanh nghiệp cổ phần hóa căn cứ hợp đồng liên doanh, liên kết lập bảng kê chi tiết theo từng đối tác đã góp vốn vào doanh nghiệp cổ phần hóa và thông báo cho chủ góp vốn biết để cùng với công ty cổ phần kế thừa các hợp đồng đã ký trước đây hoặc thanh lý hợp đồng.</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bookmarkStart w:id="12" w:name="dieu_7"/>
      <w:bookmarkEnd w:id="12"/>
      <w:r w:rsidRPr="00504972">
        <w:rPr>
          <w:rFonts w:eastAsia="Times New Roman" w:cs="Times New Roman"/>
          <w:b/>
          <w:bCs/>
          <w:color w:val="000000"/>
          <w:sz w:val="20"/>
          <w:szCs w:val="20"/>
        </w:rPr>
        <w:t>Điều 6. Kiểm kê, đối chiếu, xác nhận, phân loại tài sản và các khoản nợ khi cổ phần hóa các ngân hàng thương mại nhà nước</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Việc kiểm kê, đánh giá, phân loại tài sản là vốn bằng tiền, tài sản cho thuê tài chính và các khoản công nợ tại Ngân hàng Thương mại Nhà nước khi thực hiện cổ phần hóa được thực hiện như sau:</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1. Kiểm kê, đối chiếu các khoản tiền gửi của khách hàng, chứng chỉ tiền gửi (tín phiếu, kỳ phiếu, trái phiếu) như sau:</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a) Kiểm kê chi tiết từng khoản trên sổ kế toán.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b) Đối chiếu xác nhận số dư tiền gửi của khách hàng là pháp nhân.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c) Tiền gửi tiết kiệm, tiền gửi cá nhân, chứng chỉ tiền gửi có thể không thực hiện đối chiếu với khách hàng, nhưng phải đối chiếu với thẻ lưu. Đối với một số trường hợp cụ thể (có số dư tiền gửi lớn hoặc có chênh lệch giữa số liệu trên sổ kế toán với thẻ lưu) thì thực hiện đối chiếu trực tiếp với khách hàng.</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2. Đối chiếu tài sản là dư nợ tín dụng (kể cả dư nợ được theo dõi ngoài bảng) như sau:</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a) Căn cứ hồ sơ tín dụng của từng khách hàng tại ngân hàng thương mại để lập danh sách những khách hàng còn dư nợ tín dụng và số dư nợ tín dụng của từng khách hàng, chi tiết theo từng hợp đồng tín dụng.</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b) Đối chiếu giữa số liệu xác định theo hồ sơ tín dụng với số liệu hạch toán trên sổ kế toán của ngân hàng thương mại; đối chiếu dư nợ tín dụng với từng khách hàng để có xác nhận của khách hàng về số dư nợ tín dụng.</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Đối với khách hàng là cá nhân, trường hợp không tổ chức đối chiếu được với khách hàng thì ngân hàng thương mại phải đối chiếu với thẻ lưu.</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lastRenderedPageBreak/>
        <w:t>c) Trường hợp có sự chênh lệch số liệu giữa hồ sơ tín dụng với sổ kế toán và xác nhận của khách hàng thì ngân hàng thương mại phải làm rõ nguyên nhân chênh lệch và xác định trách nhiệm của tổ chức, cá nhân có liên quan để xử lý theo quy định hiện hành của Nhà nước.</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3. Phân loại các khoản nợ phải thu tồn đọng đủ điều kiện được xử lý theo hướng dẫn của Ngân hàng Nhà nước Việt Nam.</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4. Đối với các tài sản cho thuê tài chính: phải thực hiện đối chiếu với từng khách hàng, xác định rõ số nợ còn phải trả của từng tài sản cho thuê tài chính.</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bookmarkStart w:id="13" w:name="muc_2"/>
      <w:bookmarkEnd w:id="13"/>
      <w:r w:rsidRPr="00504972">
        <w:rPr>
          <w:rFonts w:eastAsia="Times New Roman" w:cs="Times New Roman"/>
          <w:b/>
          <w:bCs/>
          <w:color w:val="000000"/>
          <w:sz w:val="20"/>
          <w:szCs w:val="20"/>
        </w:rPr>
        <w:t>MỤC II</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r w:rsidRPr="00504972">
        <w:rPr>
          <w:rFonts w:eastAsia="Times New Roman" w:cs="Times New Roman"/>
          <w:b/>
          <w:bCs/>
          <w:color w:val="000000"/>
          <w:sz w:val="20"/>
          <w:szCs w:val="20"/>
        </w:rPr>
        <w:t>XỬ LÝ TÀI CHÍNH KHI XÁC ĐỊNH GIÁ TRỊ DOANH NGHIỆP</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r w:rsidRPr="00504972">
        <w:rPr>
          <w:rFonts w:eastAsia="Times New Roman" w:cs="Times New Roman"/>
          <w:b/>
          <w:bCs/>
          <w:color w:val="000000"/>
          <w:sz w:val="20"/>
          <w:szCs w:val="20"/>
        </w:rPr>
        <w:t>VÀ TẠI THỜI ĐIỂM CHUYỂN THÀNH CÔNG TY CỔ PHẦN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bookmarkStart w:id="14" w:name="dieu_9"/>
      <w:bookmarkEnd w:id="14"/>
      <w:r w:rsidRPr="00504972">
        <w:rPr>
          <w:rFonts w:eastAsia="Times New Roman" w:cs="Times New Roman"/>
          <w:b/>
          <w:bCs/>
          <w:color w:val="000000"/>
          <w:sz w:val="20"/>
          <w:szCs w:val="20"/>
        </w:rPr>
        <w:t>Điều 7. Xử lý về tài chính khi xác định giá trị doanh nghiệp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1. Doanh nghiệp thực hiện xử lý tài chính khi xác định giá trị doanh nghiệp theo quy định từ Điều 14 đến Điều 20 Nghị định số 126/2017/NĐ-CP và các nội dung quy định cụ thể tại khoản 2, khoản 3 Điều này.</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2. Xử lý đối với tài sản thừa, thiếu:</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Căn cứ vào kết quả kiểm kê, phân loại tài sản: đối với tài sản thừa, thiếu, doanh nghiệp phải phân tích làm rõ nguyên nhân và xử lý như sau:</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Tài sản thiếu phải xác định trách nhiệm của tổ chức, cá nhân để xử lý bồi thường vật chất theo quy định hiện hành; giá trị tài sản thiếu sau khi trừ khoản bồi thường của tổ chức, cá nhân (nếu có), doanh nghiệp được hạch toán vào chi phí sản xuất kinh doanh.</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Tài sản thừa, nếu không xác định được nguyên nhân hoặc không tìm được chủ sở hữu thì xử lý tăng giá trị thực tế phần vốn nhà nước.</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3. Các khoản nợ phải thu được xác định là nợ phải thu không có khả năng thu hồi được loại ra khỏi giá trị doanh nghiệp khi có đủ tài liệu chứng minh, cụ thể như sau:</w:t>
      </w:r>
    </w:p>
    <w:p w:rsidR="00504972" w:rsidRPr="00504972" w:rsidRDefault="00504972" w:rsidP="00504972">
      <w:pPr>
        <w:shd w:val="clear" w:color="auto" w:fill="FFFFFF"/>
        <w:spacing w:after="0" w:line="270" w:lineRule="atLeast"/>
        <w:ind w:firstLine="720"/>
        <w:jc w:val="both"/>
        <w:rPr>
          <w:rFonts w:eastAsia="Times New Roman" w:cs="Times New Roman"/>
          <w:color w:val="000000"/>
          <w:sz w:val="18"/>
          <w:szCs w:val="18"/>
        </w:rPr>
      </w:pPr>
      <w:bookmarkStart w:id="15" w:name="dieu_10"/>
      <w:bookmarkEnd w:id="15"/>
      <w:r w:rsidRPr="00504972">
        <w:rPr>
          <w:rFonts w:eastAsia="Times New Roman" w:cs="Times New Roman"/>
          <w:color w:val="000000"/>
          <w:sz w:val="20"/>
          <w:szCs w:val="20"/>
        </w:rPr>
        <w:t>- Sổ kế toán, chứng từ, tài liệu chứng minh khoản nợ chưa thu hồi được đến thời điểm xử lý nợ doanh nghiệp đang hạch toán nợ phải thu trên sổ kế toán của doanh nghiệp như: hợp đồng kinh tế; khế ước vay nợ; cam kết nợ; bản thanh lý hợp đồng (nếu có); đối chiếu công nợ (nếu có); văn bản đề nghị đối chiếu công nợ hoặc văn bản đòi nợ do doanh nghiệp đã gửi (có dấu bưu điện hoặc xác nhận của đơn vị chuyển phát); bảng kê công nợ và các chứng từ khác có liên quan.</w:t>
      </w:r>
    </w:p>
    <w:p w:rsidR="00504972" w:rsidRPr="00504972" w:rsidRDefault="00504972" w:rsidP="00504972">
      <w:pPr>
        <w:shd w:val="clear" w:color="auto" w:fill="FFFFFF"/>
        <w:spacing w:after="0"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Trường hợp đối với tổ chức kinh tế:</w:t>
      </w:r>
    </w:p>
    <w:p w:rsidR="00504972" w:rsidRPr="00504972" w:rsidRDefault="00504972" w:rsidP="00504972">
      <w:pPr>
        <w:shd w:val="clear" w:color="auto" w:fill="FFFFFF"/>
        <w:spacing w:after="0"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Khách nợ đã phá sản: có quyết định của Tòa án tuyên bố phá sản doanh nghiệp theo Luật phá sản.</w:t>
      </w:r>
    </w:p>
    <w:p w:rsidR="00504972" w:rsidRPr="00504972" w:rsidRDefault="00504972" w:rsidP="00504972">
      <w:pPr>
        <w:shd w:val="clear" w:color="auto" w:fill="FFFFFF"/>
        <w:spacing w:after="0"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Khách nợ đã ngừng hoạt động, giải thể, bỏ trốn: có xác nhận của cơ quan quyết định thành lập doanh nghiệp hoặc tổ chức đăng ký kinh doanh hoặc cơ quan thuế quản lý trực tiếp về việc doanh nghiệp, tổ chức đã ngừng hoạt động, giải thể, bỏ trốn; hoặc khoản nợ đã được doanh nghiệp, tổ chức khởi kiện ra tòa án theo quy định, có bản án, quyết định của tòa và có ý kiến xác nhận của cơ quan thi hành án về việc khách nợ không có tài sản để thi hành án.</w:t>
      </w:r>
    </w:p>
    <w:p w:rsidR="00504972" w:rsidRPr="00504972" w:rsidRDefault="00504972" w:rsidP="00504972">
      <w:pPr>
        <w:shd w:val="clear" w:color="auto" w:fill="FFFFFF"/>
        <w:spacing w:after="0"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Đối với khoản nợ phải thu nhưng khách nợ đã được cơ quan có thẩm quyền quyết định cho xoá nợ theo quy định của pháp luật; khoản chênh lệch thiệt hại được cơ quan có thẩm quyền quyết định cho bán nợ.</w:t>
      </w:r>
    </w:p>
    <w:p w:rsidR="00504972" w:rsidRPr="00504972" w:rsidRDefault="00504972" w:rsidP="00504972">
      <w:pPr>
        <w:shd w:val="clear" w:color="auto" w:fill="FFFFFF"/>
        <w:spacing w:after="0"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Trường hợp đối với cá nhân:</w:t>
      </w:r>
    </w:p>
    <w:p w:rsidR="00504972" w:rsidRPr="00504972" w:rsidRDefault="00504972" w:rsidP="00504972">
      <w:pPr>
        <w:shd w:val="clear" w:color="auto" w:fill="FFFFFF"/>
        <w:spacing w:after="0"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Giấy chứng tử (bản sao chứng thực hoặc bản sao từ sổ gốc) hoặc xác nhận của chính quyền địa phương đối với người nợ đã chết.</w:t>
      </w:r>
    </w:p>
    <w:p w:rsidR="00504972" w:rsidRPr="00504972" w:rsidRDefault="00504972" w:rsidP="00504972">
      <w:pPr>
        <w:shd w:val="clear" w:color="auto" w:fill="FFFFFF"/>
        <w:spacing w:after="0"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lastRenderedPageBreak/>
        <w:t>+ Lệnh truy nã hoặc xác nhận của cơ quan pháp luật đối với người nợ đã bỏ trốn hoặc đang bị truy tố, đang thi hành án.</w:t>
      </w:r>
    </w:p>
    <w:p w:rsidR="00504972" w:rsidRPr="00504972" w:rsidRDefault="00504972" w:rsidP="00504972">
      <w:pPr>
        <w:shd w:val="clear" w:color="auto" w:fill="FFFFFF"/>
        <w:spacing w:after="0"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Giấy xác nhận của chính quyền địa phương đối với người nợ đã mất tích.</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Các hồ sơ, tài liệu chứng minh khoản nợ đã được trích lập 100% dự phòng liên tục trong vòng 03 năm mà doanh nghiệp vẫn chưa thu hồi được nợ.</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b/>
          <w:bCs/>
          <w:color w:val="000000"/>
          <w:sz w:val="20"/>
          <w:szCs w:val="20"/>
        </w:rPr>
        <w:t>Điều 8. Xử lý tài chính ở thời điểm doanh nghiệp cổ phần hóa chính thức chuyển thành công ty cổ phần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1. Tài sản thừa hoặc thiếu so với giá trị doanh nghiệp cổ phần hoá (giá trị sổ sách) đã được cơ quan đại diện chủ sở hữu quyết định được xử lý theo quy định tại khoản 4 Điều 10 Nghị định số 126/2017/NĐ-CP.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2. Các khoản nợ phải thu, phải trả tại thời điểm doanh nghiệp cổ phần hóa được cấp Giấy chứng nhận đăng ký doanh nghiệp cổ phần lần đầu, doanh nghiệp xử lý theo quy định tại Điều 15, Điều 16 Nghị định số 126/2017/NĐ-CP.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3. Quỹ khen thưởng, quỹ phúc lợi phát sinh từ thời điểm xác định giá trị doanh nghiệp đến thời điểm doanh nghiệp cổ phần hóa được cấp Giấy chứng nhận đăng ký doanh nghiệp cổ phần lần đầu, doanh nghiệp cổ phần hóa thực hiện quản lý và chi theo đúng quy định. Số dư còn lại (nếu có) được để lại cho công ty cổ phần mới kế thừa và tiếp tục sử dụng.</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bookmarkStart w:id="16" w:name="dieu_11"/>
      <w:bookmarkEnd w:id="16"/>
      <w:r w:rsidRPr="00504972">
        <w:rPr>
          <w:rFonts w:eastAsia="Times New Roman" w:cs="Times New Roman"/>
          <w:b/>
          <w:bCs/>
          <w:color w:val="000000"/>
          <w:sz w:val="20"/>
          <w:szCs w:val="20"/>
        </w:rPr>
        <w:t>Điều 9. Bàn giao giữa doanh nghiệp cổ phần hóa và công ty cổ phần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1. Căn cứ quyết định phê duyệt quyết toán tài chính; quyết toán số tiền thu từ cổ phần hóa; quyết toán chi phí cổ phần hóa; quyết toán kinh phí hỗ trợ cho người lao động dôi dư; quyết định công bố giá trị thực tế phần vốn nhà nước tại thời điểm doanh nghiệp cổ phần hóa chính thức chuyển thành công ty cổ phần của cơ quan quyết định cổ phần hóa doanh nghiệp và báo cáo tài chính được lập lại theo kết quả xử lý tài chính tại thời điểm chính thức chuyển thành công ty cổ phần để doanh nghiệp lập hồ sơ và tổ chức bàn giao sang công ty cổ phần.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2. Trong thời hạn 30 ngày kể từ ngày doanh nghiệp cổ phần hóa hoàn thành việc lập lại báo cáo tài chính theo quy định tại khoản 5 Điều 21 Nghị định số 126/2017/NĐ-CP, Ban Chỉ đạo chỉ đạo Tổ giúp việc và doanh nghiệp tổ chức bàn giao giữa doanh nghiệp cổ phần hóa và công ty cổ phần. Việc bàn giao phải được lập thành biên bản kèm theo toàn bộ hồ sơ liên quan đến quá trình cổ phần hóa doanh nghiệp dưới sự chứng kiến của cơ quan đại diện chủ sở hữu. Biên bản bàn giao phải ghi rõ quyền và nghĩa vụ của các bên liên quan; các nội dung cần tiếp tục xử lý sau khi bàn giao (nếu có), cụ thể như sau:</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a) Hồ sơ bàn giao doanh nghiệp cổ phần hóa sang công ty cổ phần bao gồm:</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Hồ sơ xác định giá trị doanh nghiệp và quyết định công bố giá trị doanh nghiệp.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Báo cáo tài chính tại thời điểm chính thức chuyển thành công ty cổ phần đã được kiểm toán và phê duyệt của cơ quan có thẩm quyền.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Quyết định xác định giá trị phần vốn nhà nước tại thời điểm chuyển thành công ty cổ phần của cơ quan có thẩm quyền.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Biên bản bàn giao tài sản, tiền vốn được lập tại thời điểm bàn giao (có bảng chi tiết công nợ bàn giao cho công ty cổ phần tiếp tục kế thừa và các tồn tại về tài chính cần tiếp tục xử lý - nếu có).</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Các báo cáo về tình hình lao động và sử dụng đất của doanh nghiệp.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b) Thành phần bàn giao gồm:</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lastRenderedPageBreak/>
        <w:t>- Đại diện cơ quan đại diện chủ sở hữu.</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Đại diện Tập đoàn kinh tế, Tổng công ty, Công ty mẹ (trường hợp cổ phần hóa doanh nghiệp thành viên Tập đoàn kinh tế, Tổng công ty, công ty con), Giám đốc, Kế toán trưởng doanh nghiệp cổ phần hóa đại diện cho bên giao.</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Chủ tịch Hội đồng quản trị, Giám đốc, Kế toán trưởng và đại diện tổ chức công đoàn công ty cổ phần đại diện cho bên nhận.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Đại diện của Tổng công ty Đầu tư và kinh doanh vốn nhà nước đối với các doanh nghiệp cổ phần hóa thuộc đối tượng chuyển giao quyền đại diện chủ sở hữu vốn nhà nước cho Tổng công ty Đầu tư và kinh doanh vốn nhà nước.</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c) Biên bản bàn giao phải có đầy đủ chữ ký của thành phần bàn giao và phải ghi rõ:</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Tình hình tài sản, tiền vốn, lao động có tại thời điểm bàn giao.</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Quyền lợi và nghĩa vụ công ty cổ phần tiếp tục kế thừa.</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Những tồn tại công ty cổ phần có trách nhiệm tiếp tục giải quyết.</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3. Sau thời gian 60 kể từ ngày ký Biên bản bàn giao, Công ty cổ phần phải hoàn thành các hồ sơ về tài sản, đất đai và gửi đến các cơ quan có thẩm quyền theo quy định để thực hiện chuyển quyền quản lý, sử dụng tài sản từ doanh nghiệp cổ phần hóa thành sở hữu của công ty cổ phần; thực hiện giao đất, nộp tiền sử dụng đất, cấp hoặc cấp đổi cấp giấy chứng nhận quyền sử dụng đất theo quy định tại Luật Đất đai và các văn bản hướng dẫn thi hành Luật Đất đai.</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bookmarkStart w:id="17" w:name="chuong_3"/>
      <w:bookmarkEnd w:id="17"/>
      <w:r w:rsidRPr="00504972">
        <w:rPr>
          <w:rFonts w:eastAsia="Times New Roman" w:cs="Times New Roman"/>
          <w:b/>
          <w:bCs/>
          <w:color w:val="000000"/>
          <w:sz w:val="20"/>
          <w:szCs w:val="20"/>
        </w:rPr>
        <w:t>Mục III</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bookmarkStart w:id="18" w:name="chuong_3_name"/>
      <w:bookmarkEnd w:id="18"/>
      <w:r w:rsidRPr="00504972">
        <w:rPr>
          <w:rFonts w:eastAsia="Times New Roman" w:cs="Times New Roman"/>
          <w:b/>
          <w:bCs/>
          <w:color w:val="000000"/>
          <w:sz w:val="20"/>
          <w:szCs w:val="20"/>
        </w:rPr>
        <w:t>XÁC ĐỊNH GIÁ TRỊ DOANH NGHIỆP</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bookmarkStart w:id="19" w:name="muc_2_1"/>
      <w:bookmarkEnd w:id="19"/>
      <w:r w:rsidRPr="00504972">
        <w:rPr>
          <w:rFonts w:eastAsia="Times New Roman" w:cs="Times New Roman"/>
          <w:b/>
          <w:bCs/>
          <w:color w:val="000000"/>
          <w:sz w:val="20"/>
          <w:szCs w:val="20"/>
        </w:rPr>
        <w:t>THEO PHƯƠNG PHÁP TÀI SẢN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bookmarkStart w:id="20" w:name="dieu_17"/>
      <w:bookmarkEnd w:id="20"/>
      <w:r w:rsidRPr="00504972">
        <w:rPr>
          <w:rFonts w:eastAsia="Times New Roman" w:cs="Times New Roman"/>
          <w:b/>
          <w:bCs/>
          <w:color w:val="000000"/>
          <w:sz w:val="20"/>
          <w:szCs w:val="20"/>
        </w:rPr>
        <w:t>Điều 10. </w:t>
      </w:r>
      <w:bookmarkStart w:id="21" w:name="dieu_18"/>
      <w:bookmarkEnd w:id="21"/>
      <w:r w:rsidRPr="00504972">
        <w:rPr>
          <w:rFonts w:eastAsia="Times New Roman" w:cs="Times New Roman"/>
          <w:b/>
          <w:bCs/>
          <w:color w:val="000000"/>
          <w:sz w:val="20"/>
          <w:szCs w:val="20"/>
        </w:rPr>
        <w:t>Xác định giá trị thực tế các loại tài sản của doanh nghiệp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Việc xác định giá trị doanh nghiệp theo phương pháp tài sản được thực hiện theo quy định tại Mục 2 Chương III Nghị định số 126/2017/NĐ-CP và các quy định sau:</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1. Giá trị thực tế từng loại tài sản của doanh nghiệp được xác định bằng đồng Việt Nam theo danh mục tài sản theo dõi trên sổ sách kế toán của doanh nghiệp.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2. Đối với tài sản là hiện vật:</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a) Chỉ đánh giá lại những tài sản mà công ty cổ phần tiếp tục sử dụng.</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b) Giá trị thực tế của tài sản bằng (=) Nguyên giá tính theo giá thị trường tại thời điểm xác định giá trị doanh nghiệp nhân (x) Chất lượng còn lại của tài sản tại thời điểm xác định giá trị doanh nghiệp.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Trong đó:</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Giá thị trường là:</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lastRenderedPageBreak/>
        <w:t>+ Giá tài sản mới cùng loại đang mua, bán trên thị trường bao gồm cả chi phí vận chuyển lắp đặt (nếu có). Nếu là tài sản đặc thù không có trên thị trường thì giá mua tài sản được tính theo giá mua mới của tài sản tương đương, cùng nước sản xuất, có cùng công suất hoặc tính năng tương đương. Trường hợp không có tài sản tương đương thì tính theo giá tài sản ghi trên sổ kế toán.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Đối với tài sản là nhà cửa, vật kiến trúc: Giá thị trường là đơn giá xây dựng cơ bản, suất đầu tư do cơ quan có thẩm quyền quy định tại thời điểm gần nhất với thời điểm xác định giá trị doanh nghiệp. Trường hợp chưa có quy định thì tính theo giá sổ sách, có xét thêm yếu tố trượt giá trong xây dựng cơ bản.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Riêng đối với các tài sản là nhà cửa, vật kiến trúc mới hoàn thành đầu tư xây dựng trong 03 năm trước thời điểm xác định giá trị doanh nghiệp: sử dụng giá trị quyết toán công trình đã được cơ quan có thẩm quyền phê duyệt. Trường hợp cá biệt, công trình chưa được cơ quan có thẩm quyền phê duyệt quyết toán nhưng đã đưa vào sử dụng thì tạm tính theo giá ghi trên sổ kế toán.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Chất lượng của tài sản được xác định bằng tỷ lệ phần trăm so với chất lượng của tài sản cùng loại mua sắm mới hoặc đầu tư xây dựng mới, phù hợp với các quy định của Nhà nước về điều kiện an toàn trong sử dụng, vận hành tài sản; đảm bảo chất lượng sản phẩm sản xuất; vệ sinh môi trường theo hướng dẫn của các Bộ quản lý ngành kinh tế kỹ thuật.</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Nếu chưa có quy định của Nhà nước thì chất lượng tài sản xác định như sau:</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Đối với tài sản là máy móc thiết bị; phương tiện vận tải, thiết bị truyền dẫn; thiết bị dụng cụ quản lý và các loại tài sản cố định khác được đánh giá lại không thấp hơn 20% so với chất lượng của tài sản cùng loại mua sắm mới;</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 Đối với tài sản là nhà cửa, vật kiến trúc không thấp hơn 30% so với chất lượng của tài sản cùng loại đầu tư xây dựng mới.</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c) Tài sản cố định đã khấu hao thu hồi đủ vốn; công cụ lao động, dụng cụ quản lý đã phân bổ hết giá trị vào chi phí kinh doanh nhưng công ty cổ phần tiếp tục sử dụng phải đánh giá lại để tính vào giá trị doanh nghiệp theo nguyên tắc không thấp hơn 20% giá trị tài sản, công cụ, dụng cụ mua mới.</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d) Đối với doanh nghiệp cổ phần hóa có tài sản hiện vật là rừng trồng, vườn cây, khi xác định giá trị doanh nghiệp cổ phần hóa thì giá trị rừng trồng, vườn cây được xác định theo quy định tại Thông tư liên tịch số 17/2015/TTLT-BNNPTNT-BTC ngày 22/4/2015 của liên Bộ Nông nghiệp và Phát triển nông thôn - Tài chính và các văn bản sửa đổi, bổ sung hoặc thay thế (nếu có).</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đ) Đối với tài sản hình thành theo hợp đồng BOT, hạ tầng kỹ thuật khu công nghiệp thì xác định theo quy định tại khoản 6, khoản 7 Điều 27 Nghị định số 126/2017/NĐ-CP.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e) Đối với các tài sản được hình thành từ vốn đầu tư từ ngân sách nhà nước phục vụ cho hoạt động công ích mà doanh nghiệp được giao quản lý, khai thác, sử dụng thì không tính vào giá trị doanh nghiệp khi cổ phần hóa.</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2. Tài sản bằng tiền gồm tiền mặt, tiền gửi và các giấy tờ có giá (tín phiếu, trái phiếu,...) của doanh nghiệp được xác định như sau:</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a) Tiền mặt được xác định theo biên bản kiểm quỹ.</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b) Tiền gửi được xác định theo số dư đã đối chiếu xác nhận với ngân hàng nơi doanh nghiệp mở tài khoản.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lastRenderedPageBreak/>
        <w:t>c) Các giấy tờ có giá được xác định theo giá giao dịch trên thị trường. Nếu không có giao dịch thì xác định theo mệnh giá của giấy tờ đó.</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3. Các khoản nợ phải thu tính vào giá trị doanh nghiệp được xác định theo số dư thực tế trên sổ kế toán và sau khi đối chiếu xử lý như quy định tại Điều 15 Nghị định số 126/2017/NĐ-CP.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4. Các khoản chi phí dở dang về sản xuất kinh doanh, đầu tư xây dựng cơ bản, chi phí liên quan đến đền bù, giải tỏa, san lấp mặt bằng được xác định theo thực tế phát sinh đang hạch toán trên sổ kế toán.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5. Giá trị tài sản ký cược, ký quỹ ngắn hạn và dài hạn được xác định theo số dư thực tế trên sổ kế toán đã được đối chiếu xác nhận.</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bookmarkStart w:id="22" w:name="chuong_6"/>
      <w:bookmarkEnd w:id="22"/>
      <w:r w:rsidRPr="00504972">
        <w:rPr>
          <w:rFonts w:eastAsia="Times New Roman" w:cs="Times New Roman"/>
          <w:b/>
          <w:bCs/>
          <w:color w:val="000000"/>
          <w:sz w:val="20"/>
          <w:szCs w:val="20"/>
        </w:rPr>
        <w:t>Chương III</w:t>
      </w:r>
    </w:p>
    <w:p w:rsidR="00504972" w:rsidRPr="00504972" w:rsidRDefault="00504972" w:rsidP="00504972">
      <w:pPr>
        <w:shd w:val="clear" w:color="auto" w:fill="FFFFFF"/>
        <w:spacing w:after="100" w:afterAutospacing="1" w:line="270" w:lineRule="atLeast"/>
        <w:jc w:val="center"/>
        <w:rPr>
          <w:rFonts w:eastAsia="Times New Roman" w:cs="Times New Roman"/>
          <w:color w:val="000000"/>
          <w:sz w:val="18"/>
          <w:szCs w:val="18"/>
        </w:rPr>
      </w:pPr>
      <w:bookmarkStart w:id="23" w:name="chuong_6_name"/>
      <w:bookmarkEnd w:id="23"/>
      <w:r w:rsidRPr="00504972">
        <w:rPr>
          <w:rFonts w:eastAsia="Times New Roman" w:cs="Times New Roman"/>
          <w:b/>
          <w:bCs/>
          <w:color w:val="000000"/>
          <w:sz w:val="20"/>
          <w:szCs w:val="20"/>
        </w:rPr>
        <w:t>CÔNG BỐ THÔNG TIN VÀ ĐIỀU KHOẢN THI HÀNH</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bookmarkStart w:id="24" w:name="dieu_27"/>
      <w:bookmarkEnd w:id="24"/>
      <w:r w:rsidRPr="00504972">
        <w:rPr>
          <w:rFonts w:eastAsia="Times New Roman" w:cs="Times New Roman"/>
          <w:b/>
          <w:bCs/>
          <w:color w:val="000000"/>
          <w:sz w:val="20"/>
          <w:szCs w:val="20"/>
        </w:rPr>
        <w:t>Điều 11. Công bố thông tin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Doanh nghiệp cổ phần hoá phải thực hiện công bố công khai thông tin về quá trình cổ phần hoá doanh nghiệp theo quy định tại khoản 1 Điều 11 Nghị định số 126/2017/NĐ-CP và các quy định cụ thể sau:</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1. Trong thời hạn 03 ngày làm việc kể từ ngày nhận được các quyết định, văn bản của cấp có thẩm quyền)về xử lý các vấn đề về tài hcính, lao động, đất đai liên quan đến quá trình cổ phần hoá và các nội dung quy định tại khoản 1 Điều 11 Nghị định số 126/2017/NĐ-CP, doanh nghiệp cổ phần hoá phải thực hiện công bố công khai thông tin trên trang điện tử của doanh nghiệp và gửi về Cổng thông tin điện tử Chính phủ; đồng thời có văn bản gửi Bộ Tài chính, Ban Chỉ đạo Đổi mới và Phát triển doanh nghiệp để theo dõi.</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2. Định kỳ trước ngày 05 hàng tháng, doanh nghiệp cổ phần hoá có trách nhiệm báo cáo về tình hình, tiến độ triển khai công tác cổ phần hoá theo kế hoạch được cấp có thẩm quyền phê duyệt và đăng tải công khai thông tin trên trang điện tử của doanh nghiệp cổ phần hoá; đồng thời gửi cơ quan đại diện chủ sở hữu, Bộ Tài chính và Ban Chỉ đạo Đổi mới và Phát triển doanh nghiệp.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b/>
          <w:bCs/>
          <w:color w:val="000000"/>
          <w:sz w:val="20"/>
          <w:szCs w:val="20"/>
        </w:rPr>
        <w:t>Điều 12. Điều khoản chuyển tiếp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1. Các doanh nghiệp đã được cơ quan có thẩm quyền quyết định công bố giá trị doanh nghiệp nhưng chưa được phê duyệt phương án cổ phần hóa trước ngày 01/01/2018 thì:</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a) Trường hợp doanh nghiệp cổ phần hóa thuộc đối tượng quy định tại khoản 1 Điều 26 Nghị định số 126/2017/NĐ-CP phải thực hiện Kiểm toán Nhà nước và điều chỉnh lại giá trị doanh nghiệp đã công bố nếu có chênh lệch. Căn cứ vào giá trị doanh nghiệp sau điều chỉnh (nếu có), doanh nghiệp phải xây dựng phương án cổ phần hóa và triển khai phương án cổ phần hóa theo quy định tại Nghị định số 126/2017/NĐ-CP.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b) Trường hợp doanh nghiệp cổ phần hóa không thuộc đối tượng quy định tại khoản 1 Điều 26 Nghị định số 126/2017/NĐ-CP thì doanh nghiệp căn cứ giá trị doanh nghiệp đã được cơ quan có thẩm quyền công bố để xây dựng phương án cổ phần hóa và triển khai phương án cổ phần hóa theo quy định tại Nghị định số 126/2017/NĐ-CP.</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2. Các doanh nghiệp đã có quyết định phê duyệt phương án cổ phần hoá của cấp có thẩm quyền trước ngày 01/01/2018 thì tiếp tục thực hiện theo phương án được duyệt. Việc xử lý các vấn đề về tài chính tại thời điểm doanh nghiệp cổ phần hóa chính thức chuyển thành công ty cổ phần thực hiện theo quy định tại Nghị định số 126/2017/NĐ-CP và Thông tư này.</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lastRenderedPageBreak/>
        <w:t>Đến thời điểm công ty cổ phần được cấp Giấy chứng nhận đăng ký doanh nghiệp cổ phần lần đầu, căn cứ vào phương án sử dụng đất và giá đất đã được cấp có thẩm quyền phê duyệt, cơ quan đại diện chủ sở hữu chỉ đạo doanh nghiệp nộp vào ngân sách nhà nước toàn bộ khoản chênh lệch giá trị quyền sử dụng đất đã tính vào giá trị doanh nghiệp với giá trị quyền sử dụng đất được cơ quan có thẩm quyền xác định lại (nếu có).</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b/>
          <w:bCs/>
          <w:color w:val="000000"/>
          <w:sz w:val="20"/>
          <w:szCs w:val="20"/>
        </w:rPr>
        <w:t>Điều 13. Điều khoản thi hành</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1. Thông tư này có hiệu lực từ ngày .... tháng ... năm .......</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Các nội dung quy định tại Thông tư này được áp dụng kể từ ngày 01/01/2018.</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2. Thông tư này thay thế Thông tư số 127/2014/TT-BTC ngày 5/9/2014 của Bộ Tài chính hướng dẫn xử lý tài chính và xác định giá trị doanh nghiệp khi thực hiện chuyển doanh nghiệp 100% vốn nhà nước thành công ty cổ phần.</w:t>
      </w:r>
    </w:p>
    <w:p w:rsidR="00504972" w:rsidRPr="00504972" w:rsidRDefault="00504972" w:rsidP="00504972">
      <w:pPr>
        <w:shd w:val="clear" w:color="auto" w:fill="FFFFFF"/>
        <w:spacing w:after="100" w:afterAutospacing="1" w:line="270" w:lineRule="atLeast"/>
        <w:ind w:firstLine="720"/>
        <w:jc w:val="both"/>
        <w:rPr>
          <w:rFonts w:eastAsia="Times New Roman" w:cs="Times New Roman"/>
          <w:color w:val="000000"/>
          <w:sz w:val="18"/>
          <w:szCs w:val="18"/>
        </w:rPr>
      </w:pPr>
      <w:r w:rsidRPr="00504972">
        <w:rPr>
          <w:rFonts w:eastAsia="Times New Roman" w:cs="Times New Roman"/>
          <w:color w:val="000000"/>
          <w:sz w:val="20"/>
          <w:szCs w:val="20"/>
        </w:rPr>
        <w:t>3. Trong quá trình thực hiện nếu có vướng mắc, đề nghị cơ quan, doanh nghiệp kịp thời phản ánh về Bộ Tài chính để nghiên cứu sửa đổi, bổ sung./.</w:t>
      </w:r>
    </w:p>
    <w:tbl>
      <w:tblPr>
        <w:tblW w:w="8277" w:type="dxa"/>
        <w:tblCellSpacing w:w="15" w:type="dxa"/>
        <w:tblInd w:w="-323" w:type="dxa"/>
        <w:shd w:val="clear" w:color="auto" w:fill="FFFFFF"/>
        <w:tblCellMar>
          <w:top w:w="15" w:type="dxa"/>
          <w:left w:w="15" w:type="dxa"/>
          <w:bottom w:w="15" w:type="dxa"/>
          <w:right w:w="15" w:type="dxa"/>
        </w:tblCellMar>
        <w:tblLook w:val="04A0" w:firstRow="1" w:lastRow="0" w:firstColumn="1" w:lastColumn="0" w:noHBand="0" w:noVBand="1"/>
      </w:tblPr>
      <w:tblGrid>
        <w:gridCol w:w="9485"/>
      </w:tblGrid>
      <w:tr w:rsidR="00504972" w:rsidRPr="00504972" w:rsidTr="00504972">
        <w:trPr>
          <w:trHeight w:val="287"/>
          <w:tblCellSpacing w:w="15" w:type="dxa"/>
        </w:trPr>
        <w:tc>
          <w:tcPr>
            <w:tcW w:w="0" w:type="auto"/>
            <w:shd w:val="clear" w:color="auto" w:fill="FFFFFF"/>
          </w:tcPr>
          <w:tbl>
            <w:tblPr>
              <w:tblW w:w="9420" w:type="dxa"/>
              <w:tblCellSpacing w:w="15" w:type="dxa"/>
              <w:tblInd w:w="115" w:type="dxa"/>
              <w:shd w:val="clear" w:color="auto" w:fill="FFFFFF"/>
              <w:tblCellMar>
                <w:top w:w="15" w:type="dxa"/>
                <w:left w:w="15" w:type="dxa"/>
                <w:bottom w:w="15" w:type="dxa"/>
                <w:right w:w="15" w:type="dxa"/>
              </w:tblCellMar>
              <w:tblLook w:val="04A0" w:firstRow="1" w:lastRow="0" w:firstColumn="1" w:lastColumn="0" w:noHBand="0" w:noVBand="1"/>
            </w:tblPr>
            <w:tblGrid>
              <w:gridCol w:w="7282"/>
              <w:gridCol w:w="2138"/>
            </w:tblGrid>
            <w:tr w:rsidR="00504972" w:rsidRPr="00504972" w:rsidTr="00504972">
              <w:trPr>
                <w:trHeight w:val="296"/>
                <w:tblCellSpacing w:w="15" w:type="dxa"/>
              </w:trPr>
              <w:tc>
                <w:tcPr>
                  <w:tcW w:w="0" w:type="auto"/>
                  <w:shd w:val="clear" w:color="auto" w:fill="FFFFFF"/>
                  <w:hideMark/>
                </w:tcPr>
                <w:p w:rsidR="00504972" w:rsidRPr="00504972" w:rsidRDefault="00504972" w:rsidP="00504972">
                  <w:pPr>
                    <w:spacing w:after="0" w:line="240" w:lineRule="auto"/>
                    <w:rPr>
                      <w:rFonts w:ascii="Arial" w:eastAsia="Times New Roman" w:hAnsi="Arial" w:cs="Arial"/>
                      <w:color w:val="000000"/>
                      <w:sz w:val="18"/>
                      <w:szCs w:val="18"/>
                    </w:rPr>
                  </w:pPr>
                  <w:r w:rsidRPr="00504972">
                    <w:rPr>
                      <w:rFonts w:ascii="Arial" w:eastAsia="Times New Roman" w:hAnsi="Arial" w:cs="Arial"/>
                      <w:b/>
                      <w:bCs/>
                      <w:i/>
                      <w:iCs/>
                      <w:color w:val="000000"/>
                      <w:sz w:val="20"/>
                      <w:szCs w:val="20"/>
                    </w:rPr>
                    <w:t>Nơi nhận:</w:t>
                  </w:r>
                </w:p>
                <w:p w:rsidR="00504972" w:rsidRPr="00504972" w:rsidRDefault="00504972" w:rsidP="00504972">
                  <w:pPr>
                    <w:spacing w:after="0" w:line="240" w:lineRule="auto"/>
                    <w:rPr>
                      <w:rFonts w:ascii="Arial" w:eastAsia="Times New Roman" w:hAnsi="Arial" w:cs="Arial"/>
                      <w:color w:val="000000"/>
                      <w:sz w:val="18"/>
                      <w:szCs w:val="18"/>
                    </w:rPr>
                  </w:pPr>
                  <w:r w:rsidRPr="00504972">
                    <w:rPr>
                      <w:rFonts w:ascii="Arial" w:eastAsia="Times New Roman" w:hAnsi="Arial" w:cs="Arial"/>
                      <w:color w:val="000000"/>
                      <w:sz w:val="20"/>
                      <w:szCs w:val="20"/>
                    </w:rPr>
                    <w:t>- Thủ tướng, các Phó Thủ tướng Chính phủ;</w:t>
                  </w:r>
                </w:p>
                <w:p w:rsidR="00504972" w:rsidRDefault="00504972" w:rsidP="00504972">
                  <w:pPr>
                    <w:spacing w:after="0" w:line="240" w:lineRule="auto"/>
                    <w:rPr>
                      <w:rFonts w:ascii="Arial" w:eastAsia="Times New Roman" w:hAnsi="Arial" w:cs="Arial"/>
                      <w:color w:val="000000"/>
                      <w:sz w:val="20"/>
                      <w:szCs w:val="20"/>
                    </w:rPr>
                  </w:pPr>
                  <w:r w:rsidRPr="00504972">
                    <w:rPr>
                      <w:rFonts w:ascii="Arial" w:eastAsia="Times New Roman" w:hAnsi="Arial" w:cs="Arial"/>
                      <w:color w:val="000000"/>
                      <w:sz w:val="20"/>
                      <w:szCs w:val="20"/>
                    </w:rPr>
                    <w:t>- Văn phòng Chính phủ;</w:t>
                  </w:r>
                  <w:r w:rsidRPr="00504972">
                    <w:rPr>
                      <w:rFonts w:ascii="Arial" w:eastAsia="Times New Roman" w:hAnsi="Arial" w:cs="Arial"/>
                      <w:color w:val="000000"/>
                      <w:sz w:val="20"/>
                      <w:szCs w:val="20"/>
                    </w:rPr>
                    <w:br w:type="textWrapping" w:clear="all"/>
                    <w:t>- Văn phòng Trung ương và các Ban của Đảng;</w:t>
                  </w:r>
                  <w:r w:rsidRPr="00504972">
                    <w:rPr>
                      <w:rFonts w:ascii="Arial" w:eastAsia="Times New Roman" w:hAnsi="Arial" w:cs="Arial"/>
                      <w:color w:val="000000"/>
                      <w:sz w:val="20"/>
                      <w:szCs w:val="20"/>
                    </w:rPr>
                    <w:br w:type="textWrapping" w:clear="all"/>
                    <w:t>- Văn phòng Quốc hội;</w:t>
                  </w:r>
                  <w:r w:rsidRPr="00504972">
                    <w:rPr>
                      <w:rFonts w:ascii="Arial" w:eastAsia="Times New Roman" w:hAnsi="Arial" w:cs="Arial"/>
                      <w:color w:val="000000"/>
                      <w:sz w:val="20"/>
                      <w:szCs w:val="20"/>
                    </w:rPr>
                    <w:br w:type="textWrapping" w:clear="all"/>
                    <w:t>- Văn phòng Chủ tịch nước;</w:t>
                  </w:r>
                  <w:r w:rsidRPr="00504972">
                    <w:rPr>
                      <w:rFonts w:ascii="Arial" w:eastAsia="Times New Roman" w:hAnsi="Arial" w:cs="Arial"/>
                      <w:color w:val="000000"/>
                      <w:sz w:val="20"/>
                      <w:szCs w:val="20"/>
                    </w:rPr>
                    <w:br w:type="textWrapping" w:clear="all"/>
                    <w:t>- Văn phòng Tổng Bí thư;</w:t>
                  </w:r>
                  <w:r w:rsidRPr="00504972">
                    <w:rPr>
                      <w:rFonts w:ascii="Arial" w:eastAsia="Times New Roman" w:hAnsi="Arial" w:cs="Arial"/>
                      <w:color w:val="000000"/>
                      <w:sz w:val="20"/>
                      <w:szCs w:val="20"/>
                    </w:rPr>
                    <w:br w:type="textWrapping" w:clear="all"/>
                    <w:t>- Viện Kiểm sát nhân dân tối cao;</w:t>
                  </w:r>
                  <w:r w:rsidRPr="00504972">
                    <w:rPr>
                      <w:rFonts w:ascii="Arial" w:eastAsia="Times New Roman" w:hAnsi="Arial" w:cs="Arial"/>
                      <w:color w:val="000000"/>
                      <w:sz w:val="20"/>
                      <w:szCs w:val="20"/>
                    </w:rPr>
                    <w:br w:type="textWrapping" w:clear="all"/>
                    <w:t>- Toà án nhân dân tối cao;</w:t>
                  </w:r>
                  <w:r w:rsidRPr="00504972">
                    <w:rPr>
                      <w:rFonts w:ascii="Arial" w:eastAsia="Times New Roman" w:hAnsi="Arial" w:cs="Arial"/>
                      <w:color w:val="000000"/>
                      <w:sz w:val="20"/>
                      <w:szCs w:val="20"/>
                    </w:rPr>
                    <w:br w:type="textWrapping" w:clear="all"/>
                    <w:t>- Kiểm toán nhà nước;</w:t>
                  </w:r>
                  <w:r w:rsidRPr="00504972">
                    <w:rPr>
                      <w:rFonts w:ascii="Arial" w:eastAsia="Times New Roman" w:hAnsi="Arial" w:cs="Arial"/>
                      <w:color w:val="000000"/>
                      <w:sz w:val="20"/>
                      <w:szCs w:val="20"/>
                    </w:rPr>
                    <w:br w:type="textWrapping" w:clear="all"/>
                    <w:t>- Các Bộ, cơ quan ngang Bộ, </w:t>
                  </w:r>
                  <w:r w:rsidRPr="00504972">
                    <w:rPr>
                      <w:rFonts w:ascii="Arial" w:eastAsia="Times New Roman" w:hAnsi="Arial" w:cs="Arial"/>
                      <w:color w:val="000000"/>
                      <w:sz w:val="20"/>
                      <w:szCs w:val="20"/>
                    </w:rPr>
                    <w:br w:type="textWrapping" w:clear="all"/>
                    <w:t>cơ quan thuộc Chính phủ,</w:t>
                  </w:r>
                  <w:r w:rsidRPr="00504972">
                    <w:rPr>
                      <w:rFonts w:ascii="Arial" w:eastAsia="Times New Roman" w:hAnsi="Arial" w:cs="Arial"/>
                      <w:color w:val="000000"/>
                      <w:sz w:val="20"/>
                      <w:szCs w:val="20"/>
                    </w:rPr>
                    <w:br w:type="textWrapping" w:clear="all"/>
                    <w:t>- Cơ quan Trung ương của các đoàn thể;</w:t>
                  </w:r>
                  <w:r w:rsidRPr="00504972">
                    <w:rPr>
                      <w:rFonts w:ascii="Arial" w:eastAsia="Times New Roman" w:hAnsi="Arial" w:cs="Arial"/>
                      <w:color w:val="000000"/>
                      <w:sz w:val="20"/>
                      <w:szCs w:val="20"/>
                    </w:rPr>
                    <w:br w:type="textWrapping" w:clear="all"/>
                    <w:t xml:space="preserve">- Hội đồng nhân dân, Uỳ ban nhân dân, Sở Tài chính, Cục Thuế, </w:t>
                  </w:r>
                </w:p>
                <w:p w:rsidR="00504972" w:rsidRPr="00504972" w:rsidRDefault="00504972" w:rsidP="00504972">
                  <w:pPr>
                    <w:spacing w:after="0" w:line="240" w:lineRule="auto"/>
                    <w:rPr>
                      <w:rFonts w:ascii="Arial" w:eastAsia="Times New Roman" w:hAnsi="Arial" w:cs="Arial"/>
                      <w:color w:val="000000"/>
                      <w:sz w:val="20"/>
                      <w:szCs w:val="20"/>
                    </w:rPr>
                  </w:pPr>
                  <w:r w:rsidRPr="00504972">
                    <w:rPr>
                      <w:rFonts w:ascii="Arial" w:eastAsia="Times New Roman" w:hAnsi="Arial" w:cs="Arial"/>
                      <w:color w:val="000000"/>
                      <w:sz w:val="20"/>
                      <w:szCs w:val="20"/>
                    </w:rPr>
                    <w:t>Kho bạc nhà nước các tỉnh, thành phố trực thuộc Trung ương;</w:t>
                  </w:r>
                  <w:r w:rsidRPr="00504972">
                    <w:rPr>
                      <w:rFonts w:ascii="Arial" w:eastAsia="Times New Roman" w:hAnsi="Arial" w:cs="Arial"/>
                      <w:color w:val="000000"/>
                      <w:sz w:val="20"/>
                      <w:szCs w:val="20"/>
                    </w:rPr>
                    <w:br w:type="textWrapping" w:clear="all"/>
                    <w:t>- Công báo;</w:t>
                  </w:r>
                  <w:r w:rsidRPr="00504972">
                    <w:rPr>
                      <w:rFonts w:ascii="Arial" w:eastAsia="Times New Roman" w:hAnsi="Arial" w:cs="Arial"/>
                      <w:color w:val="000000"/>
                      <w:sz w:val="20"/>
                      <w:szCs w:val="20"/>
                    </w:rPr>
                    <w:br w:type="textWrapping" w:clear="all"/>
                    <w:t>- Cục Kiểm tra văn bản (Bộ Tư pháp);</w:t>
                  </w:r>
                  <w:r w:rsidRPr="00504972">
                    <w:rPr>
                      <w:rFonts w:ascii="Arial" w:eastAsia="Times New Roman" w:hAnsi="Arial" w:cs="Arial"/>
                      <w:color w:val="000000"/>
                      <w:sz w:val="20"/>
                      <w:szCs w:val="20"/>
                    </w:rPr>
                    <w:br w:type="textWrapping" w:clear="all"/>
                    <w:t>- Website Chính phủ;</w:t>
                  </w:r>
                  <w:r w:rsidRPr="00504972">
                    <w:rPr>
                      <w:rFonts w:ascii="Arial" w:eastAsia="Times New Roman" w:hAnsi="Arial" w:cs="Arial"/>
                      <w:color w:val="000000"/>
                      <w:sz w:val="20"/>
                      <w:szCs w:val="20"/>
                    </w:rPr>
                    <w:br w:type="textWrapping" w:clear="all"/>
                    <w:t>- Website Bộ Tài chính; Website Tổng cục Thuế;</w:t>
                  </w:r>
                  <w:r w:rsidRPr="00504972">
                    <w:rPr>
                      <w:rFonts w:ascii="Arial" w:eastAsia="Times New Roman" w:hAnsi="Arial" w:cs="Arial"/>
                      <w:color w:val="000000"/>
                      <w:sz w:val="20"/>
                      <w:szCs w:val="20"/>
                    </w:rPr>
                    <w:br w:type="textWrapping" w:clear="all"/>
                    <w:t>- Các đơn vị thuộc Bộ Tài chính;</w:t>
                  </w:r>
                  <w:r w:rsidRPr="00504972">
                    <w:rPr>
                      <w:rFonts w:ascii="Arial" w:eastAsia="Times New Roman" w:hAnsi="Arial" w:cs="Arial"/>
                      <w:color w:val="000000"/>
                      <w:sz w:val="20"/>
                      <w:szCs w:val="20"/>
                    </w:rPr>
                    <w:br w:type="textWrapping" w:clear="all"/>
                    <w:t>- Lưu: VT, TCDN.</w:t>
                  </w:r>
                </w:p>
              </w:tc>
              <w:tc>
                <w:tcPr>
                  <w:tcW w:w="0" w:type="auto"/>
                  <w:shd w:val="clear" w:color="auto" w:fill="FFFFFF"/>
                  <w:hideMark/>
                </w:tcPr>
                <w:p w:rsidR="00504972" w:rsidRPr="00504972" w:rsidRDefault="00504972" w:rsidP="00504972">
                  <w:pPr>
                    <w:spacing w:after="100" w:afterAutospacing="1" w:line="240" w:lineRule="auto"/>
                    <w:jc w:val="center"/>
                    <w:rPr>
                      <w:rFonts w:ascii="Arial" w:eastAsia="Times New Roman" w:hAnsi="Arial" w:cs="Arial"/>
                      <w:color w:val="000000"/>
                      <w:sz w:val="18"/>
                      <w:szCs w:val="18"/>
                    </w:rPr>
                  </w:pPr>
                  <w:r w:rsidRPr="00504972">
                    <w:rPr>
                      <w:rFonts w:ascii="Arial" w:eastAsia="Times New Roman" w:hAnsi="Arial" w:cs="Arial"/>
                      <w:b/>
                      <w:bCs/>
                      <w:color w:val="000000"/>
                      <w:sz w:val="20"/>
                      <w:szCs w:val="20"/>
                    </w:rPr>
                    <w:t>KT. BỘ TRƯỞNG</w:t>
                  </w:r>
                  <w:r w:rsidRPr="00504972">
                    <w:rPr>
                      <w:rFonts w:ascii="Arial" w:eastAsia="Times New Roman" w:hAnsi="Arial" w:cs="Arial"/>
                      <w:b/>
                      <w:bCs/>
                      <w:color w:val="000000"/>
                      <w:sz w:val="20"/>
                      <w:szCs w:val="20"/>
                    </w:rPr>
                    <w:br w:type="textWrapping" w:clear="all"/>
                    <w:t>THỨ TRƯỞNG</w:t>
                  </w:r>
                  <w:r w:rsidRPr="00504972">
                    <w:rPr>
                      <w:rFonts w:ascii="Arial" w:eastAsia="Times New Roman" w:hAnsi="Arial" w:cs="Arial"/>
                      <w:b/>
                      <w:bCs/>
                      <w:color w:val="000000"/>
                      <w:sz w:val="20"/>
                      <w:szCs w:val="20"/>
                    </w:rPr>
                    <w:br w:type="textWrapping" w:clear="all"/>
                  </w:r>
                  <w:r w:rsidRPr="00504972">
                    <w:rPr>
                      <w:rFonts w:ascii="Arial" w:eastAsia="Times New Roman" w:hAnsi="Arial" w:cs="Arial"/>
                      <w:b/>
                      <w:bCs/>
                      <w:color w:val="000000"/>
                      <w:sz w:val="20"/>
                      <w:szCs w:val="20"/>
                    </w:rPr>
                    <w:br w:type="textWrapping" w:clear="all"/>
                  </w:r>
                  <w:r w:rsidRPr="00504972">
                    <w:rPr>
                      <w:rFonts w:ascii="Arial" w:eastAsia="Times New Roman" w:hAnsi="Arial" w:cs="Arial"/>
                      <w:b/>
                      <w:bCs/>
                      <w:color w:val="000000"/>
                      <w:sz w:val="20"/>
                      <w:szCs w:val="20"/>
                    </w:rPr>
                    <w:br w:type="textWrapping" w:clear="all"/>
                  </w:r>
                  <w:r w:rsidRPr="00504972">
                    <w:rPr>
                      <w:rFonts w:ascii="Arial" w:eastAsia="Times New Roman" w:hAnsi="Arial" w:cs="Arial"/>
                      <w:b/>
                      <w:bCs/>
                      <w:color w:val="000000"/>
                      <w:sz w:val="20"/>
                      <w:szCs w:val="20"/>
                    </w:rPr>
                    <w:br w:type="textWrapping" w:clear="all"/>
                  </w:r>
                  <w:r w:rsidRPr="00504972">
                    <w:rPr>
                      <w:rFonts w:ascii="Arial" w:eastAsia="Times New Roman" w:hAnsi="Arial" w:cs="Arial"/>
                      <w:b/>
                      <w:bCs/>
                      <w:color w:val="000000"/>
                      <w:sz w:val="20"/>
                      <w:szCs w:val="20"/>
                    </w:rPr>
                    <w:br w:type="textWrapping" w:clear="all"/>
                  </w:r>
                </w:p>
                <w:p w:rsidR="00504972" w:rsidRPr="00504972" w:rsidRDefault="00504972" w:rsidP="00504972">
                  <w:pPr>
                    <w:spacing w:after="100" w:afterAutospacing="1" w:line="240" w:lineRule="auto"/>
                    <w:jc w:val="center"/>
                    <w:rPr>
                      <w:rFonts w:ascii="Arial" w:eastAsia="Times New Roman" w:hAnsi="Arial" w:cs="Arial"/>
                      <w:color w:val="000000"/>
                      <w:sz w:val="18"/>
                      <w:szCs w:val="18"/>
                    </w:rPr>
                  </w:pPr>
                  <w:bookmarkStart w:id="25" w:name="_GoBack"/>
                  <w:bookmarkEnd w:id="25"/>
                  <w:r w:rsidRPr="00504972">
                    <w:rPr>
                      <w:rFonts w:ascii="Arial" w:eastAsia="Times New Roman" w:hAnsi="Arial" w:cs="Arial"/>
                      <w:color w:val="000000"/>
                      <w:sz w:val="18"/>
                      <w:szCs w:val="18"/>
                    </w:rPr>
                    <w:t> </w:t>
                  </w:r>
                </w:p>
                <w:p w:rsidR="00504972" w:rsidRPr="00504972" w:rsidRDefault="00504972" w:rsidP="00504972">
                  <w:pPr>
                    <w:spacing w:after="100" w:afterAutospacing="1" w:line="240" w:lineRule="auto"/>
                    <w:jc w:val="center"/>
                    <w:rPr>
                      <w:rFonts w:ascii="Arial" w:eastAsia="Times New Roman" w:hAnsi="Arial" w:cs="Arial"/>
                      <w:color w:val="000000"/>
                      <w:sz w:val="18"/>
                      <w:szCs w:val="18"/>
                    </w:rPr>
                  </w:pPr>
                  <w:r w:rsidRPr="00504972">
                    <w:rPr>
                      <w:rFonts w:ascii="Arial" w:eastAsia="Times New Roman" w:hAnsi="Arial" w:cs="Arial"/>
                      <w:color w:val="000000"/>
                      <w:sz w:val="18"/>
                      <w:szCs w:val="18"/>
                    </w:rPr>
                    <w:t> </w:t>
                  </w:r>
                </w:p>
                <w:p w:rsidR="00504972" w:rsidRPr="00504972" w:rsidRDefault="00504972" w:rsidP="00504972">
                  <w:pPr>
                    <w:spacing w:after="100" w:afterAutospacing="1" w:line="240" w:lineRule="auto"/>
                    <w:jc w:val="center"/>
                    <w:rPr>
                      <w:rFonts w:ascii="Arial" w:eastAsia="Times New Roman" w:hAnsi="Arial" w:cs="Arial"/>
                      <w:color w:val="000000"/>
                      <w:sz w:val="18"/>
                      <w:szCs w:val="18"/>
                    </w:rPr>
                  </w:pPr>
                  <w:r w:rsidRPr="00504972">
                    <w:rPr>
                      <w:rFonts w:ascii="Arial" w:eastAsia="Times New Roman" w:hAnsi="Arial" w:cs="Arial"/>
                      <w:b/>
                      <w:bCs/>
                      <w:color w:val="000000"/>
                      <w:sz w:val="20"/>
                      <w:szCs w:val="20"/>
                    </w:rPr>
                    <w:t>Trần Văn Hiếu</w:t>
                  </w:r>
                </w:p>
              </w:tc>
            </w:tr>
          </w:tbl>
          <w:p w:rsidR="00504972" w:rsidRPr="00504972" w:rsidRDefault="00504972" w:rsidP="00504972">
            <w:pPr>
              <w:spacing w:after="100" w:afterAutospacing="1" w:line="240" w:lineRule="auto"/>
              <w:rPr>
                <w:rFonts w:ascii="Arial" w:eastAsia="Times New Roman" w:hAnsi="Arial" w:cs="Arial"/>
                <w:color w:val="000000"/>
                <w:sz w:val="18"/>
                <w:szCs w:val="18"/>
              </w:rPr>
            </w:pPr>
          </w:p>
        </w:tc>
      </w:tr>
    </w:tbl>
    <w:p w:rsidR="00485C31" w:rsidRDefault="00485C31"/>
    <w:sectPr w:rsidR="00485C31" w:rsidSect="006E069D">
      <w:type w:val="continuous"/>
      <w:pgSz w:w="11907" w:h="16839" w:code="9"/>
      <w:pgMar w:top="1134" w:right="1134" w:bottom="1134" w:left="1701" w:header="720"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72"/>
    <w:rsid w:val="00343FB5"/>
    <w:rsid w:val="00485C31"/>
    <w:rsid w:val="00504972"/>
    <w:rsid w:val="006D0FEC"/>
    <w:rsid w:val="006E069D"/>
    <w:rsid w:val="007631E5"/>
    <w:rsid w:val="0096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504972"/>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50497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863845">
      <w:bodyDiv w:val="1"/>
      <w:marLeft w:val="0"/>
      <w:marRight w:val="0"/>
      <w:marTop w:val="0"/>
      <w:marBottom w:val="0"/>
      <w:divBdr>
        <w:top w:val="none" w:sz="0" w:space="0" w:color="auto"/>
        <w:left w:val="none" w:sz="0" w:space="0" w:color="auto"/>
        <w:bottom w:val="none" w:sz="0" w:space="0" w:color="auto"/>
        <w:right w:val="none" w:sz="0" w:space="0" w:color="auto"/>
      </w:divBdr>
      <w:divsChild>
        <w:div w:id="138911463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1461411503">
      <w:bodyDiv w:val="1"/>
      <w:marLeft w:val="0"/>
      <w:marRight w:val="0"/>
      <w:marTop w:val="0"/>
      <w:marBottom w:val="0"/>
      <w:divBdr>
        <w:top w:val="none" w:sz="0" w:space="0" w:color="auto"/>
        <w:left w:val="none" w:sz="0" w:space="0" w:color="auto"/>
        <w:bottom w:val="none" w:sz="0" w:space="0" w:color="auto"/>
        <w:right w:val="none" w:sz="0" w:space="0" w:color="auto"/>
      </w:divBdr>
    </w:div>
    <w:div w:id="2140414772">
      <w:bodyDiv w:val="1"/>
      <w:marLeft w:val="0"/>
      <w:marRight w:val="0"/>
      <w:marTop w:val="0"/>
      <w:marBottom w:val="0"/>
      <w:divBdr>
        <w:top w:val="none" w:sz="0" w:space="0" w:color="auto"/>
        <w:left w:val="none" w:sz="0" w:space="0" w:color="auto"/>
        <w:bottom w:val="none" w:sz="0" w:space="0" w:color="auto"/>
        <w:right w:val="none" w:sz="0" w:space="0" w:color="auto"/>
      </w:divBdr>
      <w:divsChild>
        <w:div w:id="62727488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4311</Words>
  <Characters>24578</Characters>
  <Application>Microsoft Office Word</Application>
  <DocSecurity>0</DocSecurity>
  <Lines>204</Lines>
  <Paragraphs>57</Paragraphs>
  <ScaleCrop>false</ScaleCrop>
  <Company/>
  <LinksUpToDate>false</LinksUpToDate>
  <CharactersWithSpaces>28832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Mai Truong</dc:creator>
  <cp:lastModifiedBy>Nguyen Thi Mai Truong</cp:lastModifiedBy>
  <cp:revision>1</cp:revision>
  <dcterms:created xsi:type="dcterms:W3CDTF">2017-12-11T07:47:00Z</dcterms:created>
  <dcterms:modified xsi:type="dcterms:W3CDTF">2017-12-11T07:50:00Z</dcterms:modified>
</cp:coreProperties>
</file>